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7B572" w14:textId="77777777" w:rsidR="00763268" w:rsidRPr="00307528"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t>Hvor findes kul?</w:t>
      </w:r>
      <w:bookmarkStart w:id="0" w:name="_GoBack"/>
      <w:bookmarkEnd w:id="0"/>
    </w:p>
    <w:p w14:paraId="5F289BCC" w14:textId="77777777" w:rsidR="00763268" w:rsidRPr="00763268" w:rsidRDefault="00763268" w:rsidP="00763268">
      <w:pPr>
        <w:pStyle w:val="NormalWeb"/>
        <w:numPr>
          <w:ilvl w:val="0"/>
          <w:numId w:val="1"/>
        </w:numPr>
        <w:spacing w:before="0" w:beforeAutospacing="0" w:after="0" w:afterAutospacing="0" w:line="270" w:lineRule="atLeast"/>
        <w:textAlignment w:val="baseline"/>
        <w:rPr>
          <w:rFonts w:asciiTheme="minorHAnsi" w:hAnsiTheme="minorHAnsi" w:cs="Arial"/>
          <w:sz w:val="22"/>
          <w:szCs w:val="20"/>
        </w:rPr>
      </w:pPr>
      <w:r>
        <w:rPr>
          <w:rFonts w:asciiTheme="minorHAnsi" w:hAnsiTheme="minorHAnsi" w:cs="Arial"/>
          <w:sz w:val="22"/>
          <w:szCs w:val="20"/>
        </w:rPr>
        <w:t xml:space="preserve">Under jorden, i f.eks. en kulmine  </w:t>
      </w:r>
    </w:p>
    <w:p w14:paraId="33EDC298" w14:textId="77777777" w:rsidR="00763268" w:rsidRPr="00307528"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t>Hvor stammer kullet fra?</w:t>
      </w:r>
    </w:p>
    <w:p w14:paraId="434F00C2" w14:textId="77777777" w:rsidR="00763268" w:rsidRPr="00763268" w:rsidRDefault="00763268" w:rsidP="00763268">
      <w:pPr>
        <w:pStyle w:val="NormalWeb"/>
        <w:numPr>
          <w:ilvl w:val="0"/>
          <w:numId w:val="1"/>
        </w:numPr>
        <w:spacing w:before="0" w:beforeAutospacing="0" w:after="0" w:afterAutospacing="0" w:line="270" w:lineRule="atLeast"/>
        <w:textAlignment w:val="baseline"/>
        <w:rPr>
          <w:rFonts w:asciiTheme="minorHAnsi" w:hAnsiTheme="minorHAnsi" w:cs="Arial"/>
          <w:sz w:val="22"/>
          <w:szCs w:val="20"/>
        </w:rPr>
      </w:pPr>
      <w:r w:rsidRPr="00763268">
        <w:rPr>
          <w:rFonts w:asciiTheme="minorHAnsi" w:hAnsiTheme="minorHAnsi" w:cs="Arial"/>
          <w:sz w:val="22"/>
          <w:szCs w:val="20"/>
        </w:rPr>
        <w:t>Kul dannes ved begravelse af ikke-forrådnet plantemateriale som fx tørv. Omdannelsen sker som følge af stigning i tryk og temperatur ved fortsat begravelse, hvilket resulterer i en forøgelse af kulstofindhold og hårdhed, se </w:t>
      </w:r>
      <w:r>
        <w:rPr>
          <w:rFonts w:asciiTheme="minorHAnsi" w:hAnsiTheme="minorHAnsi" w:cs="Arial"/>
          <w:sz w:val="22"/>
          <w:szCs w:val="20"/>
        </w:rPr>
        <w:t>kulrækken</w:t>
      </w:r>
      <w:r w:rsidRPr="00763268">
        <w:rPr>
          <w:rFonts w:asciiTheme="minorHAnsi" w:hAnsiTheme="minorHAnsi" w:cs="Arial"/>
          <w:sz w:val="22"/>
          <w:szCs w:val="20"/>
        </w:rPr>
        <w:t>. Bestemte tidsrum i Jordens historie er kendetegnet ved særlig store akkumulationer af tørv, der bl.a. indeholder kulstof og siden omdannes til kul. Perioder med udbredte og store kulaflejringer omfatter </w:t>
      </w:r>
      <w:r>
        <w:rPr>
          <w:rFonts w:asciiTheme="minorHAnsi" w:hAnsiTheme="minorHAnsi" w:cs="Arial"/>
          <w:sz w:val="22"/>
          <w:szCs w:val="20"/>
        </w:rPr>
        <w:t>Tertiær</w:t>
      </w:r>
      <w:r w:rsidRPr="00763268">
        <w:rPr>
          <w:rFonts w:asciiTheme="minorHAnsi" w:hAnsiTheme="minorHAnsi" w:cs="Arial"/>
          <w:sz w:val="22"/>
          <w:szCs w:val="20"/>
        </w:rPr>
        <w:t>, </w:t>
      </w:r>
      <w:r>
        <w:rPr>
          <w:rFonts w:asciiTheme="minorHAnsi" w:hAnsiTheme="minorHAnsi" w:cs="Arial"/>
          <w:sz w:val="22"/>
          <w:szCs w:val="20"/>
        </w:rPr>
        <w:t>Perm</w:t>
      </w:r>
      <w:r w:rsidRPr="00763268">
        <w:rPr>
          <w:rFonts w:asciiTheme="minorHAnsi" w:hAnsiTheme="minorHAnsi" w:cs="Arial"/>
          <w:sz w:val="22"/>
          <w:szCs w:val="20"/>
        </w:rPr>
        <w:t>, dog kun på den sydlige halvkugle, og</w:t>
      </w:r>
      <w:r>
        <w:rPr>
          <w:rFonts w:asciiTheme="minorHAnsi" w:hAnsiTheme="minorHAnsi" w:cs="Arial"/>
          <w:sz w:val="22"/>
          <w:szCs w:val="20"/>
        </w:rPr>
        <w:t xml:space="preserve"> Karbon</w:t>
      </w:r>
      <w:r w:rsidRPr="00763268">
        <w:rPr>
          <w:rFonts w:asciiTheme="minorHAnsi" w:hAnsiTheme="minorHAnsi" w:cs="Arial"/>
          <w:sz w:val="22"/>
          <w:szCs w:val="20"/>
        </w:rPr>
        <w:t>, kun på den nordlige halvkugle, hvor store områder af kontinenterne var dækket af skovsumpe. Her blev primitive ulvefodstræer og kæmpepadderokker begravet som tørveaflejringer, der senere blev omdannet til kul. Karbone kul kendes især fra USA, Ruhrdistriktet i Tyskland og det nordlige England</w:t>
      </w:r>
    </w:p>
    <w:p w14:paraId="48DCED84" w14:textId="77777777" w:rsidR="00763268" w:rsidRPr="00307528"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t>Hvor i verden bliver der udvundet kul?</w:t>
      </w:r>
    </w:p>
    <w:p w14:paraId="5E90AF07" w14:textId="77777777" w:rsidR="00763268" w:rsidRPr="00307528" w:rsidRDefault="00307528" w:rsidP="00307528">
      <w:pPr>
        <w:pStyle w:val="NormalWeb"/>
        <w:numPr>
          <w:ilvl w:val="0"/>
          <w:numId w:val="1"/>
        </w:numPr>
        <w:spacing w:before="0" w:beforeAutospacing="0" w:after="0" w:afterAutospacing="0" w:line="270" w:lineRule="atLeast"/>
        <w:textAlignment w:val="baseline"/>
        <w:rPr>
          <w:rFonts w:asciiTheme="minorHAnsi" w:hAnsiTheme="minorHAnsi" w:cs="Arial"/>
          <w:sz w:val="22"/>
          <w:szCs w:val="20"/>
        </w:rPr>
      </w:pPr>
      <w:r w:rsidRPr="00307528">
        <w:rPr>
          <w:rFonts w:asciiTheme="minorHAnsi" w:hAnsiTheme="minorHAnsi" w:cs="Arial"/>
          <w:sz w:val="22"/>
          <w:szCs w:val="20"/>
        </w:rPr>
        <w:t>De Forenede Stater er opdelt i tre kulproducerende regioner: Appalachian Kul Region, Indenrigs- Kul regionen, og de vestlige Kul regionen. En tredjedel af kul udvundet i Appalachian Kul regionen, hvor de større miner under jorden, og de mindre er åbne brud. West Virginia producerer mest kul til denne region og er den næststørste kulproducerende stat i landet. Halvdelen af det amerikanske kul kommer fra det vestlige Kul regionen. Denne region bruger store åbne brud. Dens største producent er også landets største producent af stenkul, staten Wyoming. Resten af landets kul kommer fra Indenrigs- Kul regionen, som også bruger åbne brud. Den største producent stat i denne region er Texas. USA producerer næstmest kul i verden, efter Kina.</w:t>
      </w:r>
    </w:p>
    <w:p w14:paraId="6F9783B8" w14:textId="77777777" w:rsidR="00763268" w:rsidRPr="00307528"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t>Hvor meget kul bliver brudt om året på verdensplan?</w:t>
      </w:r>
    </w:p>
    <w:p w14:paraId="22A5246E" w14:textId="77777777" w:rsidR="00307528" w:rsidRDefault="00307528" w:rsidP="00307528">
      <w:pPr>
        <w:pStyle w:val="NormalWeb"/>
        <w:numPr>
          <w:ilvl w:val="0"/>
          <w:numId w:val="1"/>
        </w:numPr>
        <w:spacing w:before="0" w:beforeAutospacing="0" w:after="0" w:afterAutospacing="0" w:line="270" w:lineRule="atLeast"/>
        <w:textAlignment w:val="baseline"/>
        <w:rPr>
          <w:rFonts w:asciiTheme="minorHAnsi" w:hAnsiTheme="minorHAnsi" w:cs="Arial"/>
          <w:sz w:val="22"/>
          <w:szCs w:val="20"/>
        </w:rPr>
      </w:pPr>
      <w:r>
        <w:rPr>
          <w:rFonts w:asciiTheme="minorHAnsi" w:hAnsiTheme="minorHAnsi" w:cs="Arial"/>
          <w:sz w:val="22"/>
          <w:szCs w:val="20"/>
        </w:rPr>
        <w:t>Produktion i 2011 i mio. t</w:t>
      </w:r>
    </w:p>
    <w:tbl>
      <w:tblPr>
        <w:tblW w:w="5190" w:type="dxa"/>
        <w:tblBorders>
          <w:top w:val="single" w:sz="6" w:space="0" w:color="CCCCCC"/>
          <w:left w:val="single" w:sz="6" w:space="0" w:color="CCCCCC"/>
        </w:tblBorders>
        <w:shd w:val="clear" w:color="auto" w:fill="F2F2F2"/>
        <w:tblCellMar>
          <w:left w:w="0" w:type="dxa"/>
          <w:right w:w="0" w:type="dxa"/>
        </w:tblCellMar>
        <w:tblLook w:val="04A0" w:firstRow="1" w:lastRow="0" w:firstColumn="1" w:lastColumn="0" w:noHBand="0" w:noVBand="1"/>
      </w:tblPr>
      <w:tblGrid>
        <w:gridCol w:w="1139"/>
        <w:gridCol w:w="3239"/>
        <w:gridCol w:w="812"/>
      </w:tblGrid>
      <w:tr w:rsidR="00307528" w:rsidRPr="00307528" w14:paraId="53775DD2"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347349BB"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45E0667F"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total produktion (stenkul og brunkul)</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4CC8EEA0"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Stenkul</w:t>
            </w:r>
          </w:p>
        </w:tc>
      </w:tr>
      <w:tr w:rsidR="00307528" w:rsidRPr="00307528" w14:paraId="02590323"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5571822"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Kina</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194597D6"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3384</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1DDEAB29"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3237</w:t>
            </w:r>
          </w:p>
        </w:tc>
      </w:tr>
      <w:tr w:rsidR="00307528" w:rsidRPr="00307528" w14:paraId="6DF4097C"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BDA14E2"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USA</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685FDA4C"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1092</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40468F4B"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1011</w:t>
            </w:r>
          </w:p>
        </w:tc>
      </w:tr>
      <w:tr w:rsidR="00307528" w:rsidRPr="00307528" w14:paraId="19E57D7E"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461CC0B3"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Indien</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5819672C"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516</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6197DC26"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484</w:t>
            </w:r>
          </w:p>
        </w:tc>
      </w:tr>
      <w:tr w:rsidR="00307528" w:rsidRPr="00307528" w14:paraId="5BEFFE2F"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140BFC87"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Australien</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AE391E6"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398</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7760E9A3"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332</w:t>
            </w:r>
          </w:p>
        </w:tc>
      </w:tr>
      <w:tr w:rsidR="00307528" w:rsidRPr="00307528" w14:paraId="57458FA0"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0F7478A"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Rusland</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49803347"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327</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563C02D5"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246</w:t>
            </w:r>
          </w:p>
        </w:tc>
      </w:tr>
      <w:tr w:rsidR="00307528" w:rsidRPr="00307528" w14:paraId="44D8F13A"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2A3DCB2"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Sydafrika</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03565DE7"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251</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35D141A"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251</w:t>
            </w:r>
          </w:p>
        </w:tc>
      </w:tr>
      <w:tr w:rsidR="00307528" w:rsidRPr="00307528" w14:paraId="4E079C5E"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51AB185C"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Tyskland</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BD2568B"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190</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3F4ED329"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13</w:t>
            </w:r>
          </w:p>
        </w:tc>
      </w:tr>
      <w:tr w:rsidR="00307528" w:rsidRPr="00307528" w14:paraId="6138180E"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15069F23"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Polen</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3A13C527"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131</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237F2EEE"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68</w:t>
            </w:r>
          </w:p>
        </w:tc>
      </w:tr>
      <w:tr w:rsidR="00307528" w:rsidRPr="00307528" w14:paraId="71B06AED"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3FFFC8BF"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Kasakhstan</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52C5244C"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125</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700E5A70"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116</w:t>
            </w:r>
          </w:p>
        </w:tc>
      </w:tr>
      <w:tr w:rsidR="00307528" w:rsidRPr="00307528" w14:paraId="1266378B"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18030A33"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Ukraine</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47AB02FF"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60</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069EBA85"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60</w:t>
            </w:r>
          </w:p>
        </w:tc>
      </w:tr>
      <w:tr w:rsidR="00307528" w:rsidRPr="00307528" w14:paraId="76E834BF"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766D7DF3"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andre lande</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6185C4CB"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1038</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63DB80C7"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color w:val="666666"/>
                <w:sz w:val="17"/>
                <w:szCs w:val="17"/>
                <w:lang w:eastAsia="da-DK"/>
              </w:rPr>
              <w:t>681</w:t>
            </w:r>
          </w:p>
        </w:tc>
      </w:tr>
      <w:tr w:rsidR="00307528" w:rsidRPr="00307528" w14:paraId="4B692DC8" w14:textId="77777777" w:rsidTr="00307528">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453C7727" w14:textId="77777777" w:rsidR="00307528" w:rsidRPr="00307528" w:rsidRDefault="00307528" w:rsidP="00307528">
            <w:pPr>
              <w:spacing w:after="0" w:line="240" w:lineRule="atLeast"/>
              <w:rPr>
                <w:rFonts w:ascii="inherit" w:eastAsia="Times New Roman" w:hAnsi="inherit" w:cs="Times New Roman"/>
                <w:color w:val="666666"/>
                <w:sz w:val="17"/>
                <w:szCs w:val="17"/>
                <w:lang w:eastAsia="da-DK"/>
              </w:rPr>
            </w:pPr>
            <w:r w:rsidRPr="00307528">
              <w:rPr>
                <w:rFonts w:ascii="inherit" w:eastAsia="Times New Roman" w:hAnsi="inherit" w:cs="Times New Roman"/>
                <w:i/>
                <w:iCs/>
                <w:color w:val="666666"/>
                <w:sz w:val="17"/>
                <w:szCs w:val="17"/>
                <w:bdr w:val="none" w:sz="0" w:space="0" w:color="auto" w:frame="1"/>
                <w:lang w:eastAsia="da-DK"/>
              </w:rPr>
              <w:t>i alt</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3BB3DF12"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i/>
                <w:iCs/>
                <w:color w:val="666666"/>
                <w:sz w:val="17"/>
                <w:szCs w:val="17"/>
                <w:bdr w:val="none" w:sz="0" w:space="0" w:color="auto" w:frame="1"/>
                <w:lang w:eastAsia="da-DK"/>
              </w:rPr>
              <w:t>7520</w:t>
            </w:r>
          </w:p>
        </w:tc>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14:paraId="7E818F73" w14:textId="77777777" w:rsidR="00307528" w:rsidRPr="00307528" w:rsidRDefault="00307528" w:rsidP="00307528">
            <w:pPr>
              <w:spacing w:after="0" w:line="240" w:lineRule="atLeast"/>
              <w:jc w:val="right"/>
              <w:rPr>
                <w:rFonts w:ascii="inherit" w:eastAsia="Times New Roman" w:hAnsi="inherit" w:cs="Times New Roman"/>
                <w:color w:val="666666"/>
                <w:sz w:val="17"/>
                <w:szCs w:val="17"/>
                <w:lang w:eastAsia="da-DK"/>
              </w:rPr>
            </w:pPr>
            <w:r w:rsidRPr="00307528">
              <w:rPr>
                <w:rFonts w:ascii="inherit" w:eastAsia="Times New Roman" w:hAnsi="inherit" w:cs="Times New Roman"/>
                <w:i/>
                <w:iCs/>
                <w:color w:val="666666"/>
                <w:sz w:val="17"/>
                <w:szCs w:val="17"/>
                <w:bdr w:val="none" w:sz="0" w:space="0" w:color="auto" w:frame="1"/>
                <w:lang w:eastAsia="da-DK"/>
              </w:rPr>
              <w:t>6497</w:t>
            </w:r>
          </w:p>
        </w:tc>
      </w:tr>
    </w:tbl>
    <w:p w14:paraId="1D0E2701" w14:textId="77777777" w:rsidR="00763268" w:rsidRPr="00307528" w:rsidRDefault="00763268" w:rsidP="00307528">
      <w:pPr>
        <w:pStyle w:val="NormalWeb"/>
        <w:spacing w:before="0" w:beforeAutospacing="0" w:after="0" w:afterAutospacing="0" w:line="270" w:lineRule="atLeast"/>
        <w:textAlignment w:val="baseline"/>
        <w:rPr>
          <w:rFonts w:asciiTheme="minorHAnsi" w:hAnsiTheme="minorHAnsi" w:cs="Arial"/>
          <w:b/>
          <w:sz w:val="22"/>
          <w:szCs w:val="20"/>
        </w:rPr>
      </w:pPr>
    </w:p>
    <w:p w14:paraId="42FB0091" w14:textId="77777777" w:rsidR="00763268" w:rsidRPr="00307528"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t>Hvilke typer af kulminer findes det?</w:t>
      </w:r>
    </w:p>
    <w:p w14:paraId="3251A526" w14:textId="77777777" w:rsidR="00307528" w:rsidRPr="00307528" w:rsidRDefault="00307528" w:rsidP="00307528">
      <w:pPr>
        <w:pStyle w:val="NormalWeb"/>
        <w:numPr>
          <w:ilvl w:val="0"/>
          <w:numId w:val="1"/>
        </w:numPr>
        <w:spacing w:before="0" w:beforeAutospacing="0" w:after="0" w:afterAutospacing="0" w:line="270" w:lineRule="atLeast"/>
        <w:textAlignment w:val="baseline"/>
        <w:rPr>
          <w:rFonts w:asciiTheme="minorHAnsi" w:hAnsiTheme="minorHAnsi" w:cs="Arial"/>
          <w:b/>
          <w:sz w:val="22"/>
          <w:szCs w:val="20"/>
        </w:rPr>
      </w:pPr>
      <w:r>
        <w:rPr>
          <w:rFonts w:asciiTheme="minorHAnsi" w:hAnsiTheme="minorHAnsi" w:cs="Arial"/>
          <w:sz w:val="22"/>
          <w:szCs w:val="20"/>
        </w:rPr>
        <w:t xml:space="preserve">Overflade og underflade kulminer </w:t>
      </w:r>
    </w:p>
    <w:p w14:paraId="013980EB" w14:textId="77777777" w:rsidR="00307528"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t>Hvad bruger man kul til?</w:t>
      </w:r>
    </w:p>
    <w:p w14:paraId="1613703F" w14:textId="77777777" w:rsidR="00307528" w:rsidRDefault="00307528" w:rsidP="00307528">
      <w:pPr>
        <w:pStyle w:val="NormalWeb"/>
        <w:numPr>
          <w:ilvl w:val="0"/>
          <w:numId w:val="1"/>
        </w:numPr>
        <w:spacing w:before="0" w:beforeAutospacing="0" w:after="0" w:afterAutospacing="0" w:line="270" w:lineRule="atLeast"/>
        <w:textAlignment w:val="baseline"/>
        <w:rPr>
          <w:rFonts w:asciiTheme="minorHAnsi" w:hAnsiTheme="minorHAnsi" w:cs="Arial"/>
          <w:sz w:val="22"/>
          <w:szCs w:val="20"/>
        </w:rPr>
      </w:pPr>
      <w:r w:rsidRPr="00307528">
        <w:rPr>
          <w:rFonts w:asciiTheme="minorHAnsi" w:hAnsiTheme="minorHAnsi" w:cs="Arial"/>
          <w:sz w:val="22"/>
          <w:szCs w:val="20"/>
        </w:rPr>
        <w:t>Den største del af kulproduktionen anvendes direkte som brændsel. En voksende del undergår en eller anden forædlingsproces: afgasning, forgasning eller hydrering.</w:t>
      </w:r>
    </w:p>
    <w:p w14:paraId="02C5CF33" w14:textId="77777777" w:rsidR="00307528" w:rsidRDefault="00307528" w:rsidP="00307528">
      <w:pPr>
        <w:pStyle w:val="NormalWeb"/>
        <w:numPr>
          <w:ilvl w:val="0"/>
          <w:numId w:val="1"/>
        </w:numPr>
        <w:spacing w:before="0" w:beforeAutospacing="0" w:after="0" w:afterAutospacing="0" w:line="270" w:lineRule="atLeast"/>
        <w:textAlignment w:val="baseline"/>
        <w:rPr>
          <w:rFonts w:asciiTheme="minorHAnsi" w:hAnsiTheme="minorHAnsi" w:cs="Arial"/>
          <w:sz w:val="22"/>
          <w:szCs w:val="20"/>
        </w:rPr>
      </w:pPr>
      <w:r w:rsidRPr="00307528">
        <w:rPr>
          <w:rFonts w:asciiTheme="minorHAnsi" w:hAnsiTheme="minorHAnsi" w:cs="Arial"/>
          <w:sz w:val="22"/>
          <w:szCs w:val="20"/>
        </w:rPr>
        <w:t>Kul er udgangspunktet for mangfoldige organiske kemikalier. Historisk var kulgastjæren grundlaget for den industrielle organiske kemi. Heraf udvandtes aromatiske forbindelser som benzen, toluen, naftalen, antracen, fenol og pyridin. De var udgangspunkter for syntese af farvestoffer, fx indigo, og senere kemoterapeutika, fx salvarsan.</w:t>
      </w:r>
    </w:p>
    <w:p w14:paraId="79AA79E1" w14:textId="77777777" w:rsidR="00763268"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lastRenderedPageBreak/>
        <w:t>Hvor meget kul bruger vi i Danmark om året?</w:t>
      </w:r>
    </w:p>
    <w:p w14:paraId="1C12A497" w14:textId="77777777" w:rsidR="00307528" w:rsidRPr="00C2380E" w:rsidRDefault="00C2380E" w:rsidP="00C2380E">
      <w:pPr>
        <w:pStyle w:val="NormalWeb"/>
        <w:numPr>
          <w:ilvl w:val="0"/>
          <w:numId w:val="1"/>
        </w:numPr>
        <w:spacing w:before="0" w:beforeAutospacing="0" w:after="0" w:afterAutospacing="0" w:line="270" w:lineRule="atLeast"/>
        <w:textAlignment w:val="baseline"/>
        <w:rPr>
          <w:rFonts w:asciiTheme="minorHAnsi" w:hAnsiTheme="minorHAnsi" w:cs="Arial"/>
          <w:sz w:val="22"/>
          <w:szCs w:val="20"/>
        </w:rPr>
      </w:pPr>
      <w:r w:rsidRPr="00C2380E">
        <w:rPr>
          <w:rFonts w:asciiTheme="minorHAnsi" w:hAnsiTheme="minorHAnsi" w:cs="Arial"/>
          <w:sz w:val="22"/>
          <w:szCs w:val="20"/>
        </w:rPr>
        <w:t>I Danmark kommer næsten halvdelen af vores el fra forbrænding af kul. Kullet bruges på de store centrale kraftvarmeværker, hvor det forbrændes for at lave el og fjernvarme. Danmark har 16 centrale værker, som ligger ud til havet, så det er let at få adgang til det importerede kul.</w:t>
      </w:r>
    </w:p>
    <w:p w14:paraId="124100C3" w14:textId="77777777" w:rsidR="000B535D" w:rsidRDefault="00763268" w:rsidP="00763268">
      <w:pPr>
        <w:pStyle w:val="NormalWeb"/>
        <w:spacing w:before="0" w:beforeAutospacing="0" w:after="0" w:afterAutospacing="0" w:line="270" w:lineRule="atLeast"/>
        <w:textAlignment w:val="baseline"/>
        <w:rPr>
          <w:rFonts w:asciiTheme="minorHAnsi" w:hAnsiTheme="minorHAnsi" w:cs="Arial"/>
          <w:b/>
          <w:sz w:val="22"/>
          <w:szCs w:val="20"/>
        </w:rPr>
      </w:pPr>
      <w:r w:rsidRPr="00307528">
        <w:rPr>
          <w:rFonts w:asciiTheme="minorHAnsi" w:hAnsiTheme="minorHAnsi" w:cs="Arial"/>
          <w:b/>
          <w:sz w:val="22"/>
          <w:szCs w:val="20"/>
        </w:rPr>
        <w:t>Hvilke miljømæssige problemer opstår der, når man bruger kul?</w:t>
      </w:r>
      <w:r w:rsidR="000B535D">
        <w:rPr>
          <w:rFonts w:asciiTheme="minorHAnsi" w:hAnsiTheme="minorHAnsi" w:cs="Arial"/>
          <w:b/>
          <w:sz w:val="22"/>
          <w:szCs w:val="20"/>
        </w:rPr>
        <w:t xml:space="preserve"> &amp; </w:t>
      </w:r>
      <w:r w:rsidRPr="00307528">
        <w:rPr>
          <w:rFonts w:asciiTheme="minorHAnsi" w:hAnsiTheme="minorHAnsi" w:cs="Arial"/>
          <w:b/>
          <w:sz w:val="22"/>
          <w:szCs w:val="20"/>
        </w:rPr>
        <w:t>Hvilke miljømæssige problemer opstår der under udvindingen af kul?</w:t>
      </w:r>
    </w:p>
    <w:p w14:paraId="62C6EC64" w14:textId="77777777" w:rsidR="000B535D" w:rsidRPr="000B535D" w:rsidRDefault="000B535D" w:rsidP="000B535D">
      <w:pPr>
        <w:numPr>
          <w:ilvl w:val="0"/>
          <w:numId w:val="1"/>
        </w:numPr>
        <w:spacing w:after="0" w:line="240" w:lineRule="auto"/>
        <w:textAlignment w:val="baseline"/>
        <w:rPr>
          <w:rFonts w:eastAsia="Times New Roman" w:cs="Arial"/>
          <w:b/>
          <w:szCs w:val="20"/>
          <w:lang w:eastAsia="da-DK"/>
        </w:rPr>
      </w:pPr>
      <w:r w:rsidRPr="000B535D">
        <w:rPr>
          <w:rFonts w:eastAsia="Times New Roman" w:cs="Arial"/>
          <w:szCs w:val="20"/>
          <w:lang w:eastAsia="da-DK"/>
        </w:rPr>
        <w:t>Det er blandt andet stenkul, der forbrændes i et kulkraftværk. Som nævnt har stenkul et stort indhold af kulstof og derudover indeholder det brint (H). Når stenkul forbrændes med ilt, bliver produktet CO2, vand og varme:</w:t>
      </w:r>
    </w:p>
    <w:p w14:paraId="046790F9" w14:textId="77777777" w:rsidR="000B535D" w:rsidRPr="000B535D" w:rsidRDefault="000B535D" w:rsidP="000B535D">
      <w:pPr>
        <w:spacing w:before="100" w:beforeAutospacing="1" w:after="0" w:afterAutospacing="1" w:line="240" w:lineRule="auto"/>
        <w:ind w:left="720"/>
        <w:textAlignment w:val="baseline"/>
        <w:rPr>
          <w:rFonts w:eastAsia="Times New Roman" w:cs="Arial"/>
          <w:i/>
          <w:szCs w:val="20"/>
          <w:lang w:eastAsia="da-DK"/>
        </w:rPr>
      </w:pPr>
      <w:r w:rsidRPr="000B535D">
        <w:rPr>
          <w:rFonts w:eastAsia="Times New Roman" w:cs="Arial"/>
          <w:i/>
          <w:szCs w:val="20"/>
          <w:lang w:eastAsia="da-DK"/>
        </w:rPr>
        <w:t>Organisk stof + O2 → CO2 + H2O + Varme</w:t>
      </w:r>
    </w:p>
    <w:p w14:paraId="14314F5D" w14:textId="77777777" w:rsidR="000B535D" w:rsidRPr="000B535D" w:rsidRDefault="000B535D" w:rsidP="000B535D">
      <w:pPr>
        <w:spacing w:before="100" w:beforeAutospacing="1" w:after="0" w:afterAutospacing="1" w:line="240" w:lineRule="auto"/>
        <w:ind w:left="720"/>
        <w:textAlignment w:val="baseline"/>
        <w:rPr>
          <w:rFonts w:eastAsia="Times New Roman" w:cs="Arial"/>
          <w:szCs w:val="20"/>
          <w:lang w:eastAsia="da-DK"/>
        </w:rPr>
      </w:pPr>
      <w:r w:rsidRPr="000B535D">
        <w:rPr>
          <w:rFonts w:eastAsia="Times New Roman" w:cs="Arial"/>
          <w:szCs w:val="20"/>
          <w:lang w:eastAsia="da-DK"/>
        </w:rPr>
        <w:t xml:space="preserve">Derudover indeholder stenkul også svovl (S). Svovlet stammer ofte fra </w:t>
      </w:r>
      <w:proofErr w:type="spellStart"/>
      <w:r w:rsidRPr="000B535D">
        <w:rPr>
          <w:rFonts w:eastAsia="Times New Roman" w:cs="Arial"/>
          <w:szCs w:val="20"/>
          <w:lang w:eastAsia="da-DK"/>
        </w:rPr>
        <w:t>pyrit</w:t>
      </w:r>
      <w:proofErr w:type="spellEnd"/>
      <w:r w:rsidRPr="000B535D">
        <w:rPr>
          <w:rFonts w:eastAsia="Times New Roman" w:cs="Arial"/>
          <w:szCs w:val="20"/>
          <w:lang w:eastAsia="da-DK"/>
        </w:rPr>
        <w:t xml:space="preserve">, FeS2, som er en svovlholdig jernforbindelse, eller også er det bundet organisk. Når svovl forbrændes er produktet svovldioxid og varme. Når svovlet kommer fra </w:t>
      </w:r>
      <w:proofErr w:type="spellStart"/>
      <w:r w:rsidRPr="000B535D">
        <w:rPr>
          <w:rFonts w:eastAsia="Times New Roman" w:cs="Arial"/>
          <w:szCs w:val="20"/>
          <w:lang w:eastAsia="da-DK"/>
        </w:rPr>
        <w:t>pyrit</w:t>
      </w:r>
      <w:proofErr w:type="spellEnd"/>
      <w:r w:rsidRPr="000B535D">
        <w:rPr>
          <w:rFonts w:eastAsia="Times New Roman" w:cs="Arial"/>
          <w:szCs w:val="20"/>
          <w:lang w:eastAsia="da-DK"/>
        </w:rPr>
        <w:t xml:space="preserve"> dannes der også jernoxid:</w:t>
      </w:r>
    </w:p>
    <w:p w14:paraId="42BE7163" w14:textId="77777777" w:rsidR="000B535D" w:rsidRPr="000B535D" w:rsidRDefault="000B535D" w:rsidP="000B535D">
      <w:pPr>
        <w:spacing w:before="100" w:beforeAutospacing="1" w:after="0" w:afterAutospacing="1" w:line="240" w:lineRule="auto"/>
        <w:ind w:left="720"/>
        <w:textAlignment w:val="baseline"/>
        <w:rPr>
          <w:rFonts w:eastAsia="Times New Roman" w:cs="Arial"/>
          <w:i/>
          <w:szCs w:val="20"/>
          <w:lang w:eastAsia="da-DK"/>
        </w:rPr>
      </w:pPr>
      <w:r w:rsidRPr="000B535D">
        <w:rPr>
          <w:rFonts w:eastAsia="Times New Roman" w:cs="Arial"/>
          <w:i/>
          <w:szCs w:val="20"/>
          <w:lang w:eastAsia="da-DK"/>
        </w:rPr>
        <w:t>4 FeS2 + 11 O2 → 2 Fe2O3 + 8 SO2 + Varme</w:t>
      </w:r>
    </w:p>
    <w:p w14:paraId="1F10AB33" w14:textId="77777777" w:rsidR="000B535D" w:rsidRPr="000B535D" w:rsidRDefault="000B535D" w:rsidP="000B535D">
      <w:pPr>
        <w:spacing w:before="100" w:beforeAutospacing="1" w:after="0" w:afterAutospacing="1" w:line="240" w:lineRule="auto"/>
        <w:ind w:left="720"/>
        <w:textAlignment w:val="baseline"/>
        <w:rPr>
          <w:rFonts w:eastAsia="Times New Roman" w:cs="Arial"/>
          <w:szCs w:val="20"/>
          <w:lang w:eastAsia="da-DK"/>
        </w:rPr>
      </w:pPr>
      <w:r w:rsidRPr="000B535D">
        <w:rPr>
          <w:rFonts w:eastAsia="Times New Roman" w:cs="Arial"/>
          <w:szCs w:val="20"/>
          <w:lang w:eastAsia="da-DK"/>
        </w:rPr>
        <w:t>Svovldioxiden reagerer med ilt i luften og danner svovltrioxid:</w:t>
      </w:r>
    </w:p>
    <w:p w14:paraId="5D847AE6" w14:textId="77777777" w:rsidR="000B535D" w:rsidRPr="000B535D" w:rsidRDefault="000B535D" w:rsidP="000B535D">
      <w:pPr>
        <w:spacing w:before="100" w:beforeAutospacing="1" w:after="0" w:afterAutospacing="1" w:line="240" w:lineRule="auto"/>
        <w:ind w:left="720"/>
        <w:textAlignment w:val="baseline"/>
        <w:rPr>
          <w:rFonts w:eastAsia="Times New Roman" w:cs="Arial"/>
          <w:i/>
          <w:szCs w:val="20"/>
          <w:lang w:eastAsia="da-DK"/>
        </w:rPr>
      </w:pPr>
      <w:r w:rsidRPr="000B535D">
        <w:rPr>
          <w:rFonts w:eastAsia="Times New Roman" w:cs="Arial"/>
          <w:i/>
          <w:szCs w:val="20"/>
          <w:lang w:eastAsia="da-DK"/>
        </w:rPr>
        <w:t>4SO2 + O2 → 4SO3</w:t>
      </w:r>
    </w:p>
    <w:p w14:paraId="3E6BAC50" w14:textId="77777777" w:rsidR="000B535D" w:rsidRPr="000B535D" w:rsidRDefault="000B535D" w:rsidP="000B535D">
      <w:pPr>
        <w:spacing w:before="100" w:beforeAutospacing="1" w:after="0" w:afterAutospacing="1" w:line="240" w:lineRule="auto"/>
        <w:ind w:left="720"/>
        <w:textAlignment w:val="baseline"/>
        <w:rPr>
          <w:rFonts w:eastAsia="Times New Roman" w:cs="Arial"/>
          <w:szCs w:val="20"/>
          <w:lang w:eastAsia="da-DK"/>
        </w:rPr>
      </w:pPr>
      <w:r w:rsidRPr="000B535D">
        <w:rPr>
          <w:rFonts w:eastAsia="Times New Roman" w:cs="Arial"/>
          <w:szCs w:val="20"/>
          <w:lang w:eastAsia="da-DK"/>
        </w:rPr>
        <w:t>Svovltrioxied reagerer derefter med vand i luften og danner svovlsyre:</w:t>
      </w:r>
    </w:p>
    <w:p w14:paraId="43BE3BF9" w14:textId="77777777" w:rsidR="000B535D" w:rsidRPr="000B535D" w:rsidRDefault="000B535D" w:rsidP="000B535D">
      <w:pPr>
        <w:spacing w:before="100" w:beforeAutospacing="1" w:after="0" w:afterAutospacing="1" w:line="240" w:lineRule="auto"/>
        <w:ind w:left="720"/>
        <w:textAlignment w:val="baseline"/>
        <w:rPr>
          <w:rFonts w:eastAsia="Times New Roman" w:cs="Arial"/>
          <w:i/>
          <w:szCs w:val="20"/>
          <w:lang w:eastAsia="da-DK"/>
        </w:rPr>
      </w:pPr>
      <w:r w:rsidRPr="000B535D">
        <w:rPr>
          <w:rFonts w:eastAsia="Times New Roman" w:cs="Arial"/>
          <w:i/>
          <w:szCs w:val="20"/>
          <w:lang w:eastAsia="da-DK"/>
        </w:rPr>
        <w:t>SO3 + H2O → H2SO4 (Svovlsyre)</w:t>
      </w:r>
    </w:p>
    <w:p w14:paraId="740FA129" w14:textId="77777777" w:rsidR="000B535D" w:rsidRPr="000B535D" w:rsidRDefault="000B535D" w:rsidP="000B535D">
      <w:pPr>
        <w:spacing w:before="100" w:beforeAutospacing="1" w:after="0" w:afterAutospacing="1" w:line="240" w:lineRule="auto"/>
        <w:ind w:left="720"/>
        <w:textAlignment w:val="baseline"/>
        <w:rPr>
          <w:rFonts w:eastAsia="Times New Roman" w:cs="Arial"/>
          <w:szCs w:val="20"/>
          <w:lang w:eastAsia="da-DK"/>
        </w:rPr>
      </w:pPr>
      <w:r w:rsidRPr="000B535D">
        <w:rPr>
          <w:rFonts w:eastAsia="Times New Roman" w:cs="Arial"/>
          <w:szCs w:val="20"/>
          <w:lang w:eastAsia="da-DK"/>
        </w:rPr>
        <w:t>Hvis forbrændingen foregår ved høje temperature (over 1200 grader) kan kvælstof (N) fra luften reagere med ilt og danne kvælstofoxider (NOX):</w:t>
      </w:r>
    </w:p>
    <w:p w14:paraId="16A69CB4" w14:textId="77777777" w:rsidR="000B535D" w:rsidRPr="000B535D" w:rsidRDefault="000B535D" w:rsidP="000B535D">
      <w:pPr>
        <w:spacing w:before="100" w:beforeAutospacing="1" w:after="0" w:afterAutospacing="1" w:line="240" w:lineRule="auto"/>
        <w:ind w:left="720"/>
        <w:textAlignment w:val="baseline"/>
        <w:rPr>
          <w:rFonts w:eastAsia="Times New Roman" w:cs="Arial"/>
          <w:i/>
          <w:szCs w:val="20"/>
          <w:lang w:eastAsia="da-DK"/>
        </w:rPr>
      </w:pPr>
      <w:r w:rsidRPr="000B535D">
        <w:rPr>
          <w:rFonts w:eastAsia="Times New Roman" w:cs="Arial"/>
          <w:i/>
          <w:szCs w:val="20"/>
          <w:lang w:eastAsia="da-DK"/>
        </w:rPr>
        <w:t>N2 + O2 → 2NO</w:t>
      </w:r>
    </w:p>
    <w:p w14:paraId="10D67425" w14:textId="77777777" w:rsidR="000B535D" w:rsidRPr="000B535D" w:rsidRDefault="000B535D" w:rsidP="000B535D">
      <w:pPr>
        <w:spacing w:after="0" w:line="240" w:lineRule="auto"/>
        <w:ind w:left="720"/>
        <w:textAlignment w:val="baseline"/>
        <w:rPr>
          <w:rFonts w:eastAsia="Times New Roman" w:cs="Arial"/>
          <w:szCs w:val="20"/>
          <w:lang w:eastAsia="da-DK"/>
        </w:rPr>
      </w:pPr>
      <w:r w:rsidRPr="000B535D">
        <w:rPr>
          <w:rFonts w:eastAsia="Times New Roman" w:cs="Arial"/>
          <w:szCs w:val="20"/>
          <w:lang w:eastAsia="da-DK"/>
        </w:rPr>
        <w:t>Jo højere temperatur, jo mere NO dannes der. Kvælstofoxider er farlige, fordi de er giftige og kan danne salpetersyre, som falder ned på jorden som sur regn.</w:t>
      </w:r>
    </w:p>
    <w:p w14:paraId="0E325F40" w14:textId="77777777" w:rsidR="00C2380E" w:rsidRDefault="00C2380E" w:rsidP="000B535D">
      <w:pPr>
        <w:pStyle w:val="NormalWeb"/>
        <w:spacing w:before="0" w:beforeAutospacing="0" w:after="0" w:afterAutospacing="0" w:line="270" w:lineRule="atLeast"/>
        <w:ind w:left="720"/>
        <w:textAlignment w:val="baseline"/>
        <w:rPr>
          <w:rFonts w:asciiTheme="minorHAnsi" w:hAnsiTheme="minorHAnsi" w:cs="Arial"/>
          <w:b/>
          <w:sz w:val="22"/>
          <w:szCs w:val="20"/>
        </w:rPr>
      </w:pPr>
    </w:p>
    <w:p w14:paraId="3D7CC961" w14:textId="77777777" w:rsidR="00C2380E" w:rsidRDefault="00C2380E" w:rsidP="00763268">
      <w:pPr>
        <w:pStyle w:val="NormalWeb"/>
        <w:spacing w:before="0" w:beforeAutospacing="0" w:after="0" w:afterAutospacing="0" w:line="270" w:lineRule="atLeast"/>
        <w:textAlignment w:val="baseline"/>
        <w:rPr>
          <w:rFonts w:asciiTheme="minorHAnsi" w:hAnsiTheme="minorHAnsi" w:cs="Arial"/>
          <w:b/>
          <w:sz w:val="22"/>
          <w:szCs w:val="20"/>
        </w:rPr>
      </w:pPr>
      <w:r>
        <w:rPr>
          <w:rFonts w:asciiTheme="minorHAnsi" w:hAnsiTheme="minorHAnsi" w:cs="Arial"/>
          <w:b/>
          <w:sz w:val="22"/>
          <w:szCs w:val="20"/>
        </w:rPr>
        <w:t xml:space="preserve">Kilder </w:t>
      </w:r>
    </w:p>
    <w:p w14:paraId="774671BD" w14:textId="77777777" w:rsidR="00C2380E" w:rsidRPr="00C2380E" w:rsidRDefault="00C2380E" w:rsidP="00763268">
      <w:pPr>
        <w:pStyle w:val="NormalWeb"/>
        <w:spacing w:before="0" w:beforeAutospacing="0" w:after="0" w:afterAutospacing="0" w:line="270" w:lineRule="atLeast"/>
        <w:textAlignment w:val="baseline"/>
        <w:rPr>
          <w:rFonts w:asciiTheme="minorHAnsi" w:hAnsiTheme="minorHAnsi" w:cs="Arial"/>
          <w:sz w:val="22"/>
          <w:szCs w:val="20"/>
        </w:rPr>
      </w:pPr>
      <w:r w:rsidRPr="00C2380E">
        <w:rPr>
          <w:rFonts w:asciiTheme="minorHAnsi" w:hAnsiTheme="minorHAnsi" w:cs="Arial"/>
          <w:sz w:val="22"/>
          <w:szCs w:val="20"/>
        </w:rPr>
        <w:t>http://denstoredanske.dk/It,_teknik_og_naturvidenskab/Kemi/Petrokemi-_Jordolie,_benzin_og_asfalt/kul</w:t>
      </w:r>
    </w:p>
    <w:p w14:paraId="64866841" w14:textId="77777777" w:rsidR="00017B39" w:rsidRDefault="00C2380E" w:rsidP="00763268">
      <w:pPr>
        <w:spacing w:after="0"/>
      </w:pPr>
      <w:r w:rsidRPr="00C2380E">
        <w:t>http://www.climateminds.dk/index.php?id=731</w:t>
      </w:r>
    </w:p>
    <w:sectPr w:rsidR="00017B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3367F"/>
    <w:multiLevelType w:val="hybridMultilevel"/>
    <w:tmpl w:val="F82AEFA8"/>
    <w:lvl w:ilvl="0" w:tplc="FCCEF9FC">
      <w:numFmt w:val="bullet"/>
      <w:lvlText w:val="-"/>
      <w:lvlJc w:val="left"/>
      <w:pPr>
        <w:ind w:left="720" w:hanging="360"/>
      </w:pPr>
      <w:rPr>
        <w:rFonts w:ascii="Calibri" w:eastAsia="Times New Roman"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68"/>
    <w:rsid w:val="00017B39"/>
    <w:rsid w:val="000B535D"/>
    <w:rsid w:val="00307528"/>
    <w:rsid w:val="00763268"/>
    <w:rsid w:val="00C2380E"/>
    <w:rsid w:val="00F07F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2E06"/>
  <w15:docId w15:val="{21990AD5-3A62-48E4-B616-9B1E144E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535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6326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7632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09910">
      <w:bodyDiv w:val="1"/>
      <w:marLeft w:val="0"/>
      <w:marRight w:val="0"/>
      <w:marTop w:val="0"/>
      <w:marBottom w:val="0"/>
      <w:divBdr>
        <w:top w:val="none" w:sz="0" w:space="0" w:color="auto"/>
        <w:left w:val="none" w:sz="0" w:space="0" w:color="auto"/>
        <w:bottom w:val="none" w:sz="0" w:space="0" w:color="auto"/>
        <w:right w:val="none" w:sz="0" w:space="0" w:color="auto"/>
      </w:divBdr>
    </w:div>
    <w:div w:id="872115563">
      <w:bodyDiv w:val="1"/>
      <w:marLeft w:val="0"/>
      <w:marRight w:val="0"/>
      <w:marTop w:val="0"/>
      <w:marBottom w:val="0"/>
      <w:divBdr>
        <w:top w:val="none" w:sz="0" w:space="0" w:color="auto"/>
        <w:left w:val="none" w:sz="0" w:space="0" w:color="auto"/>
        <w:bottom w:val="none" w:sz="0" w:space="0" w:color="auto"/>
        <w:right w:val="none" w:sz="0" w:space="0" w:color="auto"/>
      </w:divBdr>
    </w:div>
    <w:div w:id="1682125941">
      <w:bodyDiv w:val="1"/>
      <w:marLeft w:val="0"/>
      <w:marRight w:val="0"/>
      <w:marTop w:val="0"/>
      <w:marBottom w:val="0"/>
      <w:divBdr>
        <w:top w:val="none" w:sz="0" w:space="0" w:color="auto"/>
        <w:left w:val="none" w:sz="0" w:space="0" w:color="auto"/>
        <w:bottom w:val="none" w:sz="0" w:space="0" w:color="auto"/>
        <w:right w:val="none" w:sz="0" w:space="0" w:color="auto"/>
      </w:divBdr>
    </w:div>
    <w:div w:id="19616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Holstebro Kommune</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malene sidelmann</cp:lastModifiedBy>
  <cp:revision>2</cp:revision>
  <dcterms:created xsi:type="dcterms:W3CDTF">2016-05-10T08:35:00Z</dcterms:created>
  <dcterms:modified xsi:type="dcterms:W3CDTF">2016-05-10T08:35:00Z</dcterms:modified>
</cp:coreProperties>
</file>